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4E91" w14:textId="247ECD49" w:rsidR="008D1AC5" w:rsidRDefault="00EC5A72">
      <w:hyperlink r:id="rId4" w:history="1">
        <w:r w:rsidRPr="00344D62">
          <w:rPr>
            <w:rStyle w:val="a3"/>
          </w:rPr>
          <w:t>https://onlinetestpad.com/ru/testview/334189-pravila-pdd-dlya-yunykh-velosipedistov</w:t>
        </w:r>
      </w:hyperlink>
    </w:p>
    <w:p w14:paraId="1CE884A2" w14:textId="77777777" w:rsidR="00EC5A72" w:rsidRDefault="00EC5A72"/>
    <w:sectPr w:rsidR="00EC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72"/>
    <w:rsid w:val="008D1AC5"/>
    <w:rsid w:val="00B1610D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3655"/>
  <w15:chartTrackingRefBased/>
  <w15:docId w15:val="{A195D4A9-B162-440A-A70E-606AF54B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334189-pravila-pdd-dlya-yunykh-velosiped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2024-06-10T11:38:00Z</dcterms:created>
  <dcterms:modified xsi:type="dcterms:W3CDTF">2024-06-10T11:39:00Z</dcterms:modified>
</cp:coreProperties>
</file>